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8A5D" w14:textId="77777777" w:rsidR="00337621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70B59FF" w14:textId="77777777" w:rsidR="00032814" w:rsidRPr="00E60AE8" w:rsidRDefault="00032814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4551FFDB" w14:textId="77777777" w:rsidR="00337621" w:rsidRPr="00E60AE8" w:rsidRDefault="00000000" w:rsidP="0070090B">
      <w:pPr>
        <w:pStyle w:val="Ttulo6"/>
        <w:spacing w:line="360" w:lineRule="auto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48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26/06/2025</w:t>
      </w:r>
    </w:p>
    <w:p w14:paraId="75D147E0" w14:textId="77777777" w:rsidR="00337621" w:rsidRPr="00E60AE8" w:rsidRDefault="00337621" w:rsidP="0070090B">
      <w:pPr>
        <w:pStyle w:val="Corpodetexto3"/>
        <w:spacing w:line="360" w:lineRule="auto"/>
        <w:ind w:right="71"/>
        <w:jc w:val="both"/>
        <w:rPr>
          <w:rFonts w:cs="Arial"/>
          <w:b w:val="0"/>
          <w:szCs w:val="24"/>
        </w:rPr>
      </w:pPr>
    </w:p>
    <w:p w14:paraId="01040D19" w14:textId="77777777" w:rsidR="00032814" w:rsidRDefault="00032814" w:rsidP="0070090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Projeto de Lei Nº 51/2025-E</w:t>
      </w:r>
      <w:r>
        <w:rPr>
          <w:rFonts w:ascii="Arial" w:hAnsi="Arial"/>
          <w:sz w:val="24"/>
          <w:szCs w:val="24"/>
        </w:rPr>
        <w:t>, de 30/05/2025, de autoria do Poder Executivo.</w:t>
      </w:r>
    </w:p>
    <w:p w14:paraId="13771D1A" w14:textId="77777777" w:rsidR="00032814" w:rsidRDefault="00032814" w:rsidP="0070090B">
      <w:pPr>
        <w:spacing w:line="360" w:lineRule="auto"/>
        <w:jc w:val="center"/>
        <w:outlineLvl w:val="0"/>
        <w:rPr>
          <w:rFonts w:ascii="Arial" w:hAnsi="Arial"/>
          <w:b/>
          <w:sz w:val="24"/>
          <w:szCs w:val="24"/>
        </w:rPr>
      </w:pPr>
    </w:p>
    <w:p w14:paraId="5BA41795" w14:textId="03573E8E" w:rsidR="00032814" w:rsidRDefault="00032814" w:rsidP="0070090B">
      <w:pPr>
        <w:pStyle w:val="Corpodetexto3"/>
        <w:spacing w:line="360" w:lineRule="auto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032814">
        <w:rPr>
          <w:rFonts w:cs="Arial"/>
          <w:caps/>
          <w:szCs w:val="24"/>
          <w:u w:val="none"/>
        </w:rPr>
        <w:t xml:space="preserve">Relator: </w:t>
      </w:r>
      <w:r w:rsidRPr="00032814">
        <w:rPr>
          <w:rFonts w:cs="Arial"/>
          <w:b w:val="0"/>
          <w:bCs/>
          <w:szCs w:val="24"/>
          <w:u w:val="none"/>
        </w:rPr>
        <w:t xml:space="preserve">Vereador </w:t>
      </w:r>
      <w:r>
        <w:rPr>
          <w:rFonts w:cs="Arial"/>
          <w:b w:val="0"/>
          <w:szCs w:val="24"/>
          <w:u w:val="none"/>
        </w:rPr>
        <w:t>Wanderlei Divino Antunes</w:t>
      </w:r>
      <w:r w:rsidRPr="00032814">
        <w:rPr>
          <w:rFonts w:cs="Arial"/>
          <w:b w:val="0"/>
          <w:szCs w:val="24"/>
          <w:u w:val="none"/>
        </w:rPr>
        <w:t>.</w:t>
      </w:r>
    </w:p>
    <w:p w14:paraId="412989C1" w14:textId="77777777" w:rsidR="00032814" w:rsidRDefault="00032814" w:rsidP="0070090B">
      <w:pPr>
        <w:pStyle w:val="Corpodetexto3"/>
        <w:spacing w:line="360" w:lineRule="auto"/>
        <w:ind w:right="0"/>
        <w:jc w:val="both"/>
        <w:rPr>
          <w:rFonts w:cs="Arial"/>
          <w:b w:val="0"/>
          <w:szCs w:val="24"/>
          <w:u w:val="none"/>
        </w:rPr>
      </w:pPr>
    </w:p>
    <w:p w14:paraId="7196925E" w14:textId="77777777" w:rsidR="00032814" w:rsidRDefault="00032814" w:rsidP="0070090B">
      <w:pPr>
        <w:widowControl w:val="0"/>
        <w:tabs>
          <w:tab w:val="left" w:pos="284"/>
        </w:tabs>
        <w:spacing w:after="120" w:line="360" w:lineRule="auto"/>
        <w:ind w:right="-109" w:firstLine="3119"/>
        <w:jc w:val="both"/>
        <w:rPr>
          <w:rFonts w:ascii="Arial" w:hAnsi="Arial"/>
          <w:b/>
          <w:i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O presente Projeto de Lei </w:t>
      </w:r>
      <w:r>
        <w:rPr>
          <w:rFonts w:ascii="Arial" w:hAnsi="Arial"/>
          <w:b/>
          <w:iCs/>
          <w:sz w:val="24"/>
          <w:szCs w:val="24"/>
          <w:u w:val="single"/>
        </w:rPr>
        <w:t>“</w:t>
      </w:r>
      <w:r>
        <w:rPr>
          <w:rFonts w:ascii="Arial" w:hAnsi="Arial"/>
          <w:b/>
          <w:sz w:val="24"/>
          <w:szCs w:val="24"/>
          <w:u w:val="single"/>
        </w:rPr>
        <w:t>Dispõe sobre as Diretrizes Orçamentárias para o ano de 2026 e dá outras providências - LDO”</w:t>
      </w:r>
      <w:r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387A1783" w14:textId="77777777" w:rsidR="00032814" w:rsidRDefault="00032814" w:rsidP="0070090B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Cs w:val="0"/>
          <w:u w:val="none"/>
        </w:rPr>
      </w:pPr>
      <w:r>
        <w:rPr>
          <w:rStyle w:val="Forte"/>
          <w:rFonts w:cs="Arial"/>
          <w:szCs w:val="24"/>
          <w:u w:val="none"/>
        </w:rPr>
        <w:t>Coube a esta Comissão analisar o referido projeto e as emendas apresentadas consoante às regras previstas no inciso II do artigo 78 e § 4º do artigo 274 do Regimento Interno desta Casa de Leis, e opinou a Comissão conforme segue:</w:t>
      </w:r>
    </w:p>
    <w:p w14:paraId="3EE4BDB4" w14:textId="77777777" w:rsidR="00032814" w:rsidRDefault="00032814" w:rsidP="0070090B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szCs w:val="24"/>
          <w:u w:val="none"/>
        </w:rPr>
      </w:pPr>
      <w:r>
        <w:rPr>
          <w:rStyle w:val="Forte"/>
          <w:rFonts w:cs="Arial"/>
          <w:szCs w:val="24"/>
          <w:u w:val="none"/>
        </w:rPr>
        <w:t>O Projeto veio acompanhado de mensagem, das diretrizes para a elaboração e execução do Orçamento, de Programas e de Ações, dos demonstrativos de Metas e Riscos Fiscais, dos critérios e formas de limitação de empenho, estabeleceu condições e exigências para transferências de recursos a entidades públicas e privadas, estabeleceu o critério para a programação financeira e o cronograma de desembolso, demonstrou a estimativa das Receitas Orçamentárias, além de demonstrar o equilíbrio entre a receita e a despesa, previsão das diretrizes para alterações tributárias e das relativas a pessoal e encargos, demonstrativo das metas Anuais para os exercícios de 2026 a 2028, demonstrativo da Avaliação do cumprimento das Metas Fiscais do Exercício Anterior, demonstrativo fiscais Atuais comparados com as fixadas nos três exercícios anteriores, a Evolução do Patrimônio Líquido , demonstrativo da origem e Aplicação dos Recursos obtidos com a alienação de Ativos, a Estimativa e Compensação de Renúncia da Receita, demonstrativo da Margem de Expansão das Despesas de Caráter Continuado e demonstrativo da Avaliação da Situação Financeira e Atuarial do Instituto de Previdência. No tocante a Reserva de Contingencia, há previsão tanto para o Poder Executivo como para o Instituto de Previdência.</w:t>
      </w:r>
    </w:p>
    <w:p w14:paraId="684E764F" w14:textId="77777777" w:rsidR="00032814" w:rsidRDefault="00032814" w:rsidP="0070090B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  <w:r>
        <w:rPr>
          <w:rStyle w:val="Forte"/>
          <w:rFonts w:cs="Arial"/>
          <w:szCs w:val="24"/>
          <w:u w:val="none"/>
        </w:rPr>
        <w:lastRenderedPageBreak/>
        <w:t xml:space="preserve"> Em pauta, nos termos regimentais, a propositura foi objeto de 13 emendas (treze), sendo 03 (três) de autoria do Vereador Rafael Tanzi de Araújo; 04 (quatro) de autoria da Vereadora Danieli de Castro; 04 (quatro) de autoria do Vereador Marcos Roberto Martins Arruda, 01 (uma) de autoria Comissão de Orçamento, Finanças e Contabilidade e 01 (uma) de autoria da Mesa Diretora.</w:t>
      </w:r>
    </w:p>
    <w:p w14:paraId="251D9F53" w14:textId="77777777" w:rsidR="00032814" w:rsidRDefault="00032814" w:rsidP="0070090B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b/>
          <w:bCs w:val="0"/>
          <w:szCs w:val="24"/>
          <w:u w:val="none"/>
        </w:rPr>
      </w:pPr>
    </w:p>
    <w:p w14:paraId="7C75F8D5" w14:textId="77777777" w:rsidR="00032814" w:rsidRDefault="00032814" w:rsidP="0070090B">
      <w:pPr>
        <w:pStyle w:val="Corpodetexto3"/>
        <w:tabs>
          <w:tab w:val="left" w:pos="3119"/>
        </w:tabs>
        <w:spacing w:line="360" w:lineRule="auto"/>
        <w:ind w:right="0" w:firstLine="3119"/>
        <w:jc w:val="both"/>
        <w:rPr>
          <w:rStyle w:val="Forte"/>
          <w:rFonts w:cs="Arial"/>
          <w:szCs w:val="24"/>
          <w:u w:val="none"/>
        </w:rPr>
      </w:pPr>
      <w:r>
        <w:rPr>
          <w:rStyle w:val="Forte"/>
          <w:rFonts w:cs="Arial"/>
          <w:szCs w:val="24"/>
          <w:u w:val="none"/>
        </w:rPr>
        <w:t>Foi RETIRADA pelos autores, 01 (uma) emenda sob n°: 09.</w:t>
      </w:r>
    </w:p>
    <w:p w14:paraId="54D800BC" w14:textId="77777777" w:rsidR="00032814" w:rsidRDefault="00032814" w:rsidP="0070090B">
      <w:pPr>
        <w:spacing w:after="240" w:line="360" w:lineRule="auto"/>
        <w:ind w:firstLine="31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Ainda em relação ao Projeto, observa-se o empenho do Executivo em aperfeiçoar as peças orçamentárias, especialmente no que tange à adequação de alguns indicadores dos programas orçamentários. Contudo, verifica-se que o projeto em análise ainda demanda aprimoramentos.</w:t>
      </w:r>
    </w:p>
    <w:p w14:paraId="7DA101C9" w14:textId="77777777" w:rsidR="00032814" w:rsidRDefault="00032814" w:rsidP="0070090B">
      <w:pPr>
        <w:spacing w:after="240" w:line="360" w:lineRule="auto"/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Dessa forma, reitera-se ao Executivo a necessidade de qualificar e quantificar de forma mais precisa os indicadores, utilizando unidades de medida adequadas, conforme orientam as legislações pertinentes (</w:t>
      </w:r>
      <w:r>
        <w:rPr>
          <w:rStyle w:val="Forte"/>
          <w:rFonts w:ascii="Arial" w:hAnsi="Arial"/>
          <w:sz w:val="24"/>
          <w:szCs w:val="24"/>
        </w:rPr>
        <w:t>Constituição Federal, Lei Complementar nº 101/00, Lei nº 4.320/64</w:t>
      </w:r>
      <w:r>
        <w:rPr>
          <w:rFonts w:ascii="Arial" w:hAnsi="Arial"/>
          <w:sz w:val="24"/>
          <w:szCs w:val="24"/>
        </w:rPr>
        <w:t>), bem como os comunicados e manuais expedidos pelo Tribunal de Contas do Estado de São Paulo (TCESP), a fim de se assegurar o efetivo acompanhamento e avaliação do cumprimento das metas quantitativas, qualitativas e financeiras estabelecidas no orçamento, promovendo maior transparência e qualidade nas informações relativas às contas públicas.</w:t>
      </w:r>
    </w:p>
    <w:p w14:paraId="24CE85E4" w14:textId="77777777" w:rsidR="00032814" w:rsidRDefault="00032814" w:rsidP="0070090B">
      <w:pPr>
        <w:tabs>
          <w:tab w:val="left" w:pos="3120"/>
        </w:tabs>
        <w:spacing w:line="360" w:lineRule="auto"/>
        <w:ind w:firstLine="3261"/>
        <w:jc w:val="both"/>
        <w:rPr>
          <w:rStyle w:val="Forte"/>
          <w:b w:val="0"/>
          <w:bCs w:val="0"/>
        </w:rPr>
      </w:pPr>
      <w:r>
        <w:rPr>
          <w:rStyle w:val="Forte"/>
          <w:rFonts w:ascii="Arial" w:hAnsi="Arial"/>
          <w:sz w:val="24"/>
          <w:szCs w:val="24"/>
        </w:rPr>
        <w:t>Quanto as Emendas apresentadas possuem caráter IMPOSITIVO as emendas de número 01, 02, 03, 04, 05, 06, 07, 10, 11, 12 e 13, conforme Emenda Constitucional nº 126/2022 e suas disposições.</w:t>
      </w:r>
    </w:p>
    <w:p w14:paraId="21F337B3" w14:textId="77777777" w:rsidR="00032814" w:rsidRDefault="00032814" w:rsidP="0070090B">
      <w:pPr>
        <w:tabs>
          <w:tab w:val="left" w:pos="3120"/>
        </w:tabs>
        <w:spacing w:line="360" w:lineRule="auto"/>
        <w:ind w:firstLine="3261"/>
        <w:jc w:val="both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Dentre as emendas apresentadas, opina FAVORAVELMENTE à todas as emendas, exceto, a emenda retirada, porém, a Comissão faz às emendas as mesmas ressalvas feitas ao projeto em relação as técnicas de elaboração das peças orçamentárias.</w:t>
      </w:r>
    </w:p>
    <w:p w14:paraId="0AAC8687" w14:textId="77777777" w:rsidR="00032814" w:rsidRDefault="00032814" w:rsidP="0070090B">
      <w:pPr>
        <w:tabs>
          <w:tab w:val="left" w:pos="3120"/>
        </w:tabs>
        <w:spacing w:line="360" w:lineRule="auto"/>
        <w:jc w:val="both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ab/>
        <w:t xml:space="preserve">Ante o exposto, considerando que a iniciativa da propositura é de competência do Poder Executivo que a elabora de acordo </w:t>
      </w:r>
      <w:r>
        <w:rPr>
          <w:rStyle w:val="Forte"/>
          <w:rFonts w:ascii="Arial" w:hAnsi="Arial"/>
          <w:sz w:val="24"/>
          <w:szCs w:val="24"/>
        </w:rPr>
        <w:lastRenderedPageBreak/>
        <w:t>com as políticas públicas que pretende realizar, indicando as metas que pretende alcançar,  somos favoráveis a aprovação do Projeto de Lei nº 51-E de 30/05/2025, de autoria do Poder Executivo, e as EMENDAS FAVORÁVEIS em questão, no que diz respeito aos aspectos que cumprem a esta Comissão analisar, devidamente ressalvadas as observações quanto ao aprimoramento do planejamento das políticas públicas e programas e ações a serem executados, bem como das metas, dos indicadores e das unidades de medidas que devem compor as Peças Orçamentárias para uma melhor avaliação de eficácia e efetividade dos programas e ações governamentais propostos, ressalvado, ainda, o poder de deliberação do Egrégio Plenário desta Casa de Leis.</w:t>
      </w:r>
    </w:p>
    <w:p w14:paraId="17B19AE0" w14:textId="77777777" w:rsidR="00032814" w:rsidRDefault="00032814" w:rsidP="0070090B">
      <w:pPr>
        <w:tabs>
          <w:tab w:val="left" w:pos="3120"/>
        </w:tabs>
        <w:spacing w:line="360" w:lineRule="auto"/>
        <w:jc w:val="both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ab/>
        <w:t>Sendo assim, guardadas as referidas ressalvas quanto ao   o Projeto e as Emendas, opina a Comissão pelo envio da matéria para serem deliberados pelo Egrégio Plenário desta Casa de Leis.</w:t>
      </w:r>
    </w:p>
    <w:p w14:paraId="138F2ED6" w14:textId="77777777" w:rsidR="00032814" w:rsidRDefault="00032814" w:rsidP="0070090B">
      <w:pPr>
        <w:tabs>
          <w:tab w:val="left" w:pos="3120"/>
        </w:tabs>
        <w:spacing w:line="360" w:lineRule="auto"/>
        <w:jc w:val="both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ab/>
      </w:r>
    </w:p>
    <w:p w14:paraId="279C1850" w14:textId="4507815D" w:rsidR="00032814" w:rsidRPr="00032814" w:rsidRDefault="00032814" w:rsidP="0070090B">
      <w:pPr>
        <w:pStyle w:val="Corpodetexto3"/>
        <w:spacing w:after="120" w:line="360" w:lineRule="auto"/>
        <w:ind w:right="0" w:firstLine="3062"/>
        <w:jc w:val="both"/>
        <w:rPr>
          <w:rFonts w:cs="Arial"/>
          <w:b w:val="0"/>
          <w:bCs/>
          <w:u w:val="none"/>
        </w:rPr>
      </w:pPr>
      <w:r>
        <w:rPr>
          <w:rFonts w:cs="Arial"/>
          <w:b w:val="0"/>
          <w:bCs/>
          <w:szCs w:val="24"/>
          <w:u w:val="none"/>
        </w:rPr>
        <w:t>É o parecer, sob os aspectos que compete a esta comissão analisar.</w:t>
      </w:r>
    </w:p>
    <w:p w14:paraId="2A5D87EF" w14:textId="77777777" w:rsidR="00032814" w:rsidRDefault="00032814" w:rsidP="00032814">
      <w:pPr>
        <w:pStyle w:val="Corpodetexto3"/>
        <w:ind w:right="0" w:firstLine="2268"/>
        <w:jc w:val="right"/>
        <w:outlineLvl w:val="0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Sala das Sessões, 26 de junho de 2025.</w:t>
      </w:r>
    </w:p>
    <w:p w14:paraId="3C0EA36D" w14:textId="77777777" w:rsidR="00032814" w:rsidRDefault="00032814" w:rsidP="00032814">
      <w:pPr>
        <w:pStyle w:val="Corpodetexto3"/>
        <w:ind w:right="0" w:firstLine="2268"/>
        <w:jc w:val="right"/>
        <w:outlineLvl w:val="0"/>
        <w:rPr>
          <w:rFonts w:cs="Arial"/>
          <w:b w:val="0"/>
          <w:szCs w:val="24"/>
          <w:u w:val="none"/>
        </w:rPr>
      </w:pPr>
    </w:p>
    <w:p w14:paraId="47F47A47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430BD377" w14:textId="77777777" w:rsidR="00032814" w:rsidRDefault="00032814" w:rsidP="00032814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37BC61C2" w14:textId="77777777" w:rsidR="00032814" w:rsidRDefault="00032814" w:rsidP="00032814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50FF2E09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5CAC06AD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895F1F3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7A86CE6C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5B6FD995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CFB0EF4" w14:textId="77777777" w:rsidR="00032814" w:rsidRDefault="00032814" w:rsidP="00032814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THIAGO VIEIRA NUNES</w:t>
      </w:r>
    </w:p>
    <w:p w14:paraId="7679A112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PRESIDENTE CPOFC</w:t>
      </w:r>
    </w:p>
    <w:p w14:paraId="33252840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385EAB4" w14:textId="77777777" w:rsidR="00032814" w:rsidRDefault="00032814" w:rsidP="0003281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389D1DC" w14:textId="77777777" w:rsidR="00032814" w:rsidRDefault="00032814" w:rsidP="00032814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GUILHERME ARAÚJO NUNES</w:t>
      </w:r>
    </w:p>
    <w:p w14:paraId="4944AFED" w14:textId="77777777" w:rsidR="00032814" w:rsidRDefault="00032814" w:rsidP="00032814">
      <w:pPr>
        <w:ind w:right="74"/>
        <w:jc w:val="center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  <w:t>SUPLENTE CPOFC</w:t>
      </w:r>
    </w:p>
    <w:p w14:paraId="2363D251" w14:textId="77777777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651BED50" w14:textId="6B26ACF8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3638" w14:textId="77777777" w:rsidR="003B7D9B" w:rsidRDefault="003B7D9B">
      <w:r>
        <w:separator/>
      </w:r>
    </w:p>
  </w:endnote>
  <w:endnote w:type="continuationSeparator" w:id="0">
    <w:p w14:paraId="330F6541" w14:textId="77777777" w:rsidR="003B7D9B" w:rsidRDefault="003B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C91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D615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D4F9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4751" w14:textId="77777777" w:rsidR="003B7D9B" w:rsidRDefault="003B7D9B">
      <w:r>
        <w:separator/>
      </w:r>
    </w:p>
  </w:footnote>
  <w:footnote w:type="continuationSeparator" w:id="0">
    <w:p w14:paraId="019130FE" w14:textId="77777777" w:rsidR="003B7D9B" w:rsidRDefault="003B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50DA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E76A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BA5A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81EB01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7C5723DF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6080BF6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DBFB036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6DD7EB45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F69A663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710A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3281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B7D9B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090B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B456E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456FD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4A75CBF"/>
  <w15:docId w15:val="{9F8CEF7D-CF2D-42CE-97B7-6E325D1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qFormat/>
    <w:locked/>
    <w:rsid w:val="00032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775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33</cp:revision>
  <dcterms:created xsi:type="dcterms:W3CDTF">2017-08-03T13:32:00Z</dcterms:created>
  <dcterms:modified xsi:type="dcterms:W3CDTF">2025-06-26T17:58:00Z</dcterms:modified>
</cp:coreProperties>
</file>